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être modifiés à compter du 1er janvier prochain. Cette décision a été prise suite à une hausse de nos coûts de production et de distribution.</w:t>
      </w:r>
    </w:p>
    <w:p>
      <w:pPr>
        <w:pStyle w:val="contentStyle"/>
      </w:pPr>
      <w:r>
        <w:rPr>
          <w:rStyle w:val="contentFont"/>
        </w:rPr>
        <w:t xml:space="preserve">Nous vous proposons donc de nouveaux tarifs, que vous trouverez en pièce jointe à cet e-mail. 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2026-07-06T03:37:04+02:00</dcterms:created>
  <dcterms:modified xsi:type="dcterms:W3CDTF">2026-07-06T03:37:04+02:00</dcterms:modified>
</cp:coreProperties>
</file>

<file path=docProps/custom.xml><?xml version="1.0" encoding="utf-8"?>
<Properties xmlns="http://schemas.openxmlformats.org/officeDocument/2006/custom-properties" xmlns:vt="http://schemas.openxmlformats.org/officeDocument/2006/docPropsVTypes"/>
</file>