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contacte pour vous assurer que votre confidentialité est notre première préoccupation. En tant qu'avocat,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