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à votre encontre. Conformément aux dispositions des articles L. 1232-2 et suivants du Code du travail, nous vous convoquons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Vous avez la possibilité de vous faire assister par une personne de votre choix appartenant au personnel de l'entreprise, qu'il s'agisse d'un délégué du personnel, d'un représentant syndical ou de tout autre salarié. En l'absence d'institutions représentatives du personnel dans l'entreprise, vous pourrez vous faire assister par un conseiller du salarié dont la liste est disponible en mairie ou auprès de l'inspection du travail.</w:t>
      </w:r>
    </w:p>
    <w:p>
      <w:pPr>
        <w:pStyle w:val="contentStyle"/>
      </w:pPr>
      <w:r>
        <w:rPr>
          <w:rStyle w:val="contentFont"/>
        </w:rPr>
        <w:t xml:space="preserve">Nous vous rappelons que votre présence à cet entretien est vivement souhaitée afin que vous puissiez présenter vos observations. Toutefois, votre absence ne constituera pas un obstacle à la poursuite de la procédure.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2026-07-05T23:38:51+02:00</dcterms:created>
  <dcterms:modified xsi:type="dcterms:W3CDTF">2026-07-05T23:38:51+02:00</dcterms:modified>
</cp:coreProperties>
</file>

<file path=docProps/custom.xml><?xml version="1.0" encoding="utf-8"?>
<Properties xmlns="http://schemas.openxmlformats.org/officeDocument/2006/custom-properties" xmlns:vt="http://schemas.openxmlformats.org/officeDocument/2006/docPropsVTypes"/>
</file>